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270</w:t>
      </w:r>
    </w:p>
    <w:p>
      <w:r>
        <w:t>Bundesgericht (BGE), 2007-09-14, DE</w:t>
      </w:r>
    </w:p>
    <w:p>
      <w:r>
        <w:rPr>
          <w:b/>
        </w:rPr>
        <w:t xml:space="preserve">Quelle: </w:t>
      </w:r>
      <w:r>
        <w:t>https://mcp.opencaselaw.ch/entscheid/bge_133 I 270</w:t>
      </w:r>
    </w:p>
    <w:p>
      <w:r>
        <w:t>FR: ATF 133 I 270</w:t>
      </w:r>
    </w:p>
    <w:p>
      <w:r>
        <w:t>IT: DTF 133 I 270</w:t>
      </w:r>
    </w:p>
    <w:p>
      <w:pPr>
        <w:pStyle w:val="Heading2"/>
      </w:pPr>
      <w:r>
        <w:t>Regeste</w:t>
      </w:r>
    </w:p>
    <w:p>
      <w:r>
        <w:t>Regeste a Art. 31 Abs. 3 BV, Art. 5 Ziff. 3 EMRK, Art. 46 Abs. 1 BGG; Fristenstillstand bei strafprozessualer Haft. Der gesetzliche Fristenstillstand für die Beschwerdeführung beim Bundesgericht gilt in Fällen betreffend die strafprozessuale Haft nicht (E. 1.2.2). Diese neue Praxis war für den Beschwerdeführer nicht vorhersehbar. Auf die unter Beachtung des Fristenstillstands eingereichte Beschwerde ist nach Treu und Glauben einzutreten (E. 1.2.3).</w:t>
      </w:r>
    </w:p>
    <w:p>
      <w:r>
        <w:t>Regeste b Art. 5 Abs. 3, Art. 9, Art. 10 Abs. 2, Art. 29 Abs. 2 und Art. 36 BV, Art. 74 f. StGB; Wiederholungs- bzw. Fortsetzungsgefahr, vorzeitiger Strafvollzug, Haftdauer und Verhältnismässigkeitsprinzip, Prüfungs- und Begründungspflicht des Haftrichters. Haftgrund der Wiederholungs- bzw. Fortsetzungsgefahr als Grundlage für den vorzeitigen Strafvollzug (E. 2). Der pauschale Verzicht des Haftrichters, die Haft- und Vollzugsmodalitäten zu prüfen, ist im Hinblick auf den Zweck des vorzeitigen Strafvollzugs und den geltend gemachten Haftgrund mit der Bundesverfassung nicht vereinbar (E. 3.2). Pflicht zur Prüfung möglicher Ersatzmassnahmen (E. 3.3). Im Haftprüfungsverfahren sind die zur Beurteilung der Verhältnismässigkeit der Haftdauer erforderlichen Akten zu erheben, und das Ergebnis der Prüfung ist zu begründen (E. 3.4). Problematik eines kantonal einstufigen Haftprüfungsverfahrens und Weiterentwicklung der bundesrechtlichen Anforderungen (E. 3.5).</w:t>
      </w:r>
    </w:p>
    <w:p>
      <w:pPr>
        <w:pStyle w:val="Heading2"/>
      </w:pPr>
      <w:r>
        <w:t>Erwägungen</w:t>
      </w:r>
    </w:p>
    <w:p>
      <w:r>
        <w:rPr>
          <w:b/>
        </w:rPr>
        <w:t>E. 1.1</w:t>
      </w:r>
    </w:p>
    <w:p>
      <w:r>
        <w:t>Gemäss Art. 78 Abs. 1 des Bundesgesetzes vom 17. Juni 2005 über das Bundesgericht (Bundesgerichtsgesetz, BGG; SR 173.110) beurteilt das Bundesgericht Beschwerden gegen Entscheide in BGE 133 I 270 S. 273 Strafsachen. Der Begriff "Entscheide in Strafsachen" umfasst sämtliche Entscheidungen, denen materielles Strafrecht oder Strafprozessrecht zu Grunde liegt. Somit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Ein kantonales Rechtsmittel gegen den angefochtenen Entscheid steht nicht zur Verfügung.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Haftentlassung zulässig (vgl. BGE 132 I 21 E. 1 S. 22 mit Hinweisen).</w:t>
      </w:r>
    </w:p>
    <w:p>
      <w:r>
        <w:rPr>
          <w:b/>
        </w:rPr>
        <w:t>E. 1.2</w:t>
      </w:r>
    </w:p>
    <w:p>
      <w:r>
        <w:t>Der angefochtene Entscheid des Haftrichters vom 27. Juni 2007 wurde dem Beschwerdeführer vorab per Fax übermittelt und am 28. Juni 2007 per Post zugestellt. Die vorliegende Beschwerde, die nach Art. 100 Abs. 1 BGG innert 30 Tagen beim Bundesgericht einzureichen ist, hat der Beschwerdeführer am 27. August 2007 der Post übergeben. Er macht geltend, mit dieser Postaufgabe sei unter Berücksichtigung des Stillstands nach Art. 46 Abs. 1 lit. b BGG die 30-tägige Beschwerdefrist gewahrt.</w:t>
      </w:r>
    </w:p>
    <w:p>
      <w:r>
        <w:rPr>
          <w:b/>
        </w:rPr>
        <w:t>E. 1.2.1</w:t>
      </w:r>
    </w:p>
    <w:p>
      <w:r>
        <w:t>Nach Art. 46 Abs. 1 lit. b BGG stehen gesetzlich oder richterlich nach Tagen bestimmte Fristen vom 15. Juli bis und mit dem 15. August still. Diese Vorschrift gilt nicht in Verfahren betreffend aufschiebende Wirkung und andere vorsorgliche Massnahmen sowie in der Wechselbetreibung und auf dem Gebiet der internationalen Rechtshilfe in Strafsachen ( Art. 46 Abs. 2 BGG ). Der Gesetzgeber hat somit gewisse Ausnahmen vom Fristenstillstand vorgesehen. Beschwerden gegen Entscheide betreffend Anordnung und Weiterführung strafprozessualer Haft sind bei diesen Ausnahmen aber nicht ausdrücklich erwähnt. Immerhin ergibt sich aus der Botschaft des Bundesrates zum BGG, dass die Anordnung der Untersuchungshaft vom Gesetzgeber als vorsorgliche Massnahme mit nicht wiedergutzumachendem Nachteil verstanden wurde (BBl 2001 S. 4334), für welche nach dem Wortlaut von Art. 46 Abs. 2 BGG der Fristenstillstand nicht gelten würde. Ob der angefochtene Entscheid einen solchen Entscheid über eine vorsorgliche Massnahme BGE 133 I 270 S. 274 darstellt, braucht hier nicht entschieden zu werden, da der Fristenstillstand bei Beschwerden gegen strafprozessuale Haft bereits wegen des Beschleunigungsgebots nicht greifen kann.</w:t>
      </w:r>
    </w:p>
    <w:p>
      <w:r>
        <w:rPr>
          <w:b/>
        </w:rPr>
        <w:t>E. 1.2.2</w:t>
      </w:r>
    </w:p>
    <w:p>
      <w:r>
        <w:t>Dem Grundsatz der Verfahrensbeschleunigung, der sich insbesondere aus den Art. 29 Abs. 1 und Art. 31 Abs. 2 und 3 BV sowie Art. 5 Ziff. 3 und 4 und Art. 6 Ziff. 1 EMRK ergibt, kommt im Strafverfahren besondere Bedeutung zu.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 BGE 128 I 149 E. 2.2.1 S. 151; BGE 126 I 172 E. 5a S. 176 f.; BGE 124 I 208 E. 6 S. 215; BGE 123 I 268 E. 3a S. 273, je mit Hinweisen). Daraus ergibt sich, dass insbesondere Haftfälle vordringlich zu behandeln sind (so auch Botschaft des Bundesrats vom 21. Dezember 2005 zur Vereinheitlichung des Strafprozessrechts, BBl 2006 S. 1130 zu Art. 5 E-StPO). Mit dem im Haftverfahren besonders zu beachtenden Beschleunigungsgebot lässt sich der Fristenstillstand nach Art. 46 Abs. 1 BGG nicht vereinbaren. Vielmehr kann mit Rücksicht auf die betroffenen Grundrechte (insbesondere persönliche Freiheit [ Art. 10 Abs. 2 BV ]) und die verfassungs- und konventionsrechtlich verankerten Verfahrensgarantien (insbesondere Art. 31 Abs. 3 BV und Art. 5 Ziff. 3 EMRK ) bei allen Fällen, in welchen die strafprozessuale Haft umstritten ist, der Fristenstillstand nach Art. 46 Abs. 1 BGG nicht Platz greifen. Die frühere Praxis des Bundesgerichts, welche im Rahmen der staatsrechtlichen Beschwerde bei Strafsachen und somit auch in Haftfällen den Fristenstillstand gemäss Art. 34 OG zuliess ( BGE 103 Ia 367 ), kann unter der Herrschaft des BGG nicht weitergeführt werden. Diese neue Praxis entspricht im Übrigen auch dem Entwurf des Bundesrats zu einer neuen Strafprozessordnung, nach welchem im Strafverfahren generell keine Gerichtsferien und somit kein Fristenstillstand mehr gelten sollen (Art. 87 Abs. 2 E-StPO, BBl 2006 S. 1415). Mit der amtlichen Publikation des vorliegenden Urteils wird die neue Rechtsprechung wie eine Praxisänderung angekündigt und damit in allen strafprozessualen Haftfällen anwendbar (vgl. BGE 132 II 153 E. 5.1 S. 159 mit Hinweisen).</w:t>
      </w:r>
    </w:p>
    <w:p>
      <w:r>
        <w:rPr>
          <w:b/>
        </w:rPr>
        <w:t>E. 1.2.3</w:t>
      </w:r>
    </w:p>
    <w:p>
      <w:r>
        <w:t>Dem Wortlaut von Art. 46 Abs. 2 BGG lässt sich nicht entnehmen, dass der Fristenstillstand bei Beschwerden gegen strafprozessuale Haft nicht gilt. Der Beschwerdeführer konnte nach Treu und BGE 133 I 270 S. 275 Glauben ( Art. 5 Abs. 3 und Art. 9 BV ) davon ausgehen, dass seine Beschwerdeerhebung analog zur früheren Praxis zur staatsrechtlichen Beschwerde rechtzeitig erfolgt sei. Aus der neuen, vom Beschwerdeführer nicht vorhersehbaren Praxis darf dem Beschwerdeführer nach Treu und Glauben kein Nachteil erwachsen ( BGE 132 II 153 E. 5.1 S. 159 mit Hinweisen; vgl. GEORG MÜLLER/ULRICH HÄFELIN/FELIX UHLMANN, Allgemeines Verwaltungsrecht, 5. Aufl., Zürich 2006, Rz. 515 mit Hinweisen). Dies führt im vorliegenden Fall dazu, dass das Bundesgericht ausnahmsweise die unter Beachtung des Fristenstillstands fristgerecht eingereichte Beschwerde gestützt auf Treu und Glauben als rechtzeitig akzeptiert. Auf die im Übrigen formgerecht erhobene Beschwerde ist somit einzutreten.</w:t>
      </w:r>
    </w:p>
    <w:p>
      <w:r>
        <w:rPr>
          <w:b/>
        </w:rPr>
        <w:t>E. 2</w:t>
      </w:r>
    </w:p>
    <w:p>
      <w:r>
        <w:t>Untersuchungs- oder Sicherheitshaft kann auf Antrag des Angeschuldigten in vorzeitigen Straf- und Massnahmenvollzug umgewandelt werden, wenn die richterliche Anordnung einer unbedingten Strafe oder einer sichernden Massnahme zu erwarten ist und der Zweck des Strafverfahrens nicht gefährdet wird ( § 71a Abs. 1 und 3 StPO /ZH). Für alle strafprozessualen Häftlinge (inklusive Gefangene im vorzeitigen Straf- und Massnahmenvollzug) gilt die Unschuldsvermutung ( Art. 32 Abs. 1 BV ). Ausserdem können sie sich auf die einschlägigen Verfahrensgarantien von Art. 31 BV berufen ( BGE 126 I 172 E. 3a S. 174; BGE 123 I 221 E. II/3f/aa S. 239, je mit Hinweisen).</w:t>
      </w:r>
    </w:p>
    <w:p>
      <w:r>
        <w:rPr>
          <w:b/>
        </w:rPr>
        <w:t>E. 2.1</w:t>
      </w:r>
    </w:p>
    <w:p>
      <w:r>
        <w:t>Gemäss § 58 Abs. 1 StPO /ZH ist die Anordnung oder Aufrechterhaltung der Untersuchungshaft zulässig, wenn der Angeschuldigte eines Verbrechens oder Vergehens dringend verdächtigt wird und überdies Flucht-, Kollusions- oder Wiederholungsgefahr besteht. Wiederholungsgefahr liegt gemäss Zürcher Strafprozessrecht vor, wenn "aufgrund bestimmter Anhaltspunkte ernsthaft befürchtet werden muss", der Angeschuldigte werde, "nachdem er bereits zahlreiche Verbrechen oder erhebliche Vergehen verübt hat, erneut solche Straftaten begehen" ( § 58 Abs. 1 Ziff. 3 StPO /ZH). Sinn und Zweck der Anordnung von Haft wegen Wiederholungsgefahr im Sinne von § 58 Abs. 1 Ziff. 3 StPO /ZH ist die Verhütung von Verbrechen; die Haft ist somit überwiegend Präventivhaft. Die Notwendigkeit, den Angeschuldigten an der Begehung einer strafbaren Handlung zu hindern (Spezialprävention) wird von Art. 5 Ziff. 1 lit. c EMRK ausdrücklich als Haftgrund anerkannt ( BGE 125 I 361 E. 4c S. 365 f.; BGE 123 I 268 E. 2c S. 270; Urteil des Bundesgerichts 1P.4/2000 vom 21. Januar 2000, E. 3d und e). BGE 133 I 270 S. 276</w:t>
      </w:r>
    </w:p>
    <w:p>
      <w:r>
        <w:rPr>
          <w:b/>
        </w:rPr>
        <w:t>E. 2.2</w:t>
      </w:r>
    </w:p>
    <w:p>
      <w:r>
        <w:t>Die Untersuchungshaft muss als schwerwiegender Eingriff in das Grundrecht der persönlichen Freiheit auf einer klaren gesetzlichen Grundlage in einem Gesetz beruhen, im öffentlichen Interesse liegen und verhältnismässig sein ( Art. 36 BV ). Die Anordnung von Untersuchungshaft wegen Wiederholungs- bzw. Fortsetzungsgefahr ist verhältnismässig, wenn die Rückfallprognose sehr ungünstig und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S. 62; BGE 124 I 208 E. 5 S. 213; BGE 123 I 268 E. 2c S. 271, je mit Hinweisen).</w:t>
      </w:r>
    </w:p>
    <w:p>
      <w:r>
        <w:rPr>
          <w:b/>
        </w:rPr>
        <w:t>E. 2.3</w:t>
      </w:r>
    </w:p>
    <w:p>
      <w:r>
        <w:t>Aus den Akten des vorliegenden Verfahrens ergibt sich, dass der besondere Haftgrund der Wiederholungs- bzw. Fortsetzungsgefahr vom Haftrichter bejaht werden durfte. Bei den vom Beschwerdeführer mutmasslich begangenen Straftaten handelt es sich um zahlreiche schwere Vermögensdelikte. Der Beschwerdeführer ist für ähnliche Delikte seit 1987 bereits mehrfach mit insgesamt über 16 Jahren Zuchthaus oder Gefängnis bestraft und trotzdem mehrfach rückfällig geworden. Ein über den Beschwerdeführer erstelltes psychiatrisches Gutachten aus dem Jahre 2005 kommt zum Schluss, es bestehe eine erhöhte Gefahr neuerlicher Straftaten derselben Art, welche in einem kausalen Zusammenhang mit der diagnostizierten Persönlichkeitsstörung stünden.</w:t>
      </w:r>
    </w:p>
    <w:p>
      <w:r>
        <w:rPr>
          <w:b/>
        </w:rPr>
        <w:t>E. 3</w:t>
      </w:r>
    </w:p>
    <w:p>
      <w:r>
        <w:t>/</w:t>
      </w:r>
    </w:p>
    <w:p>
      <w:r>
        <w:rPr>
          <w:b/>
        </w:rPr>
        <w:t>E. 3.1</w:t>
      </w:r>
    </w:p>
    <w:p>
      <w:r>
        <w:t>Im Zusammenhang mit den genannten Fragen der Verhältnismässigkeit rügt der Beschwerdeführer verschiedentlich eine Verweigerung des rechtlichen Gehörs und die Missachtung der daraus abgeleiteten Begründungspflicht ( Art. 29 Abs. 2 BV ). 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BGE 126 I 97 E. 2b S. 102 f. mit Hinweisen).</w:t>
      </w:r>
    </w:p>
    <w:p>
      <w:r>
        <w:rPr>
          <w:b/>
        </w:rPr>
        <w:t>E. 3.2.1</w:t>
      </w:r>
    </w:p>
    <w:p>
      <w:r>
        <w:t>Für den vorzeitigen Strafvollzug ist, auch wenn er in einer Strafanstalt erfolgt, grundsätzlich das Regime der Untersuchungshaft massgebend. Das Bundesgericht hat wiederholt festgehalten, der vorzeitige Strafvollzug stelle seiner Natur nach eine Massnahme auf der Schwelle zwischen Strafverfolgung und Strafvollzug dar. Er soll ermöglichen, dass dem Angeschuldigten bereits vor der rechtskräftigen Urteilsfällung verbesserte Chancen auf Resozialisierung im Rahmen des Strafvollzugs geboten werden können. Aus dem Umstand, dass der Angeschuldigte nach § 71a StPO /ZH auf eigenen BGE 133 I 270 S. 278 Antrag in dieses Vollzugsregime eintritt, darf jedoch nicht geschlossen werden, dass eine Unterbrechung bzw. Aufhebung dieses Vollzugs nur unter den für den ordentlichen Strafvollzug geltenden, engen Voraussetzungen möglich sein soll. Sowohl die gesetzliche Regelung im Kanton Zürich wie auch die allgemeinen Erwägungen des Bundesgerichts führen dazu, im Zweifelsfalle die Regeln über die kantonalrechtliche Untersuchungs- und Sicherheitshaft auch bei vorzeitigem Strafantritt analog anzuwenden. Unter dem Gesichtspunkt des Gebots rechtsgleicher Behandlung ist nach der Rechtsprechung angesichts der Verschiedenheit der tatsächlichen Voraussetzungen nicht zu beanstanden, dass Gefangene im vorläufigen Strafvollzug nicht der gleichen Urlaubsregelung wie solche im ordentlichen Strafvollzug unterstellt werden (vgl. BGE 117 Ia 257 E. 3c S. 259 f. mit Hinweisen). Auch andere Vollzugserleichterungen können nach Massgabe der Erfordernisse des Untersuchungszwecks und den Einschränkungen, die sich aus dem jeweils bestehenden besonderen Haftgrund ergeben, beschränkt werden.</w:t>
      </w:r>
    </w:p>
    <w:p>
      <w:r>
        <w:rPr>
          <w:b/>
        </w:rPr>
        <w:t>E. 3.2.2</w:t>
      </w:r>
    </w:p>
    <w:p>
      <w:r>
        <w:t>Der Haftrichter bemerkt im angefochtenen Entscheid ohne weitere Begründung kurz, "dass Haft- und Vollzugsmodalitäten nicht Gegenstand des vorliegenden Entscheids sein können." Aus der Praxis des Bundesgerichts kann jedoch im Gegensatz zur Ansicht des Haftrichters nicht gefolgert werden, der Zweck des vorzeitigen Strafantritts spiele im Rahmen der Prüfung der Verhältnismässigkeit der freiheitsentziehenden Massnahme keine Rolle. Zwar hat ein im vorzeitigen Strafvollzug Inhaftierter wie erwähnt nicht Anspruch auf sämtliche Hafterleichterungen (z.B. Urlaub, auswärtige Arbeit etc.), soweit ihnen ein weiterhin bestehender besonderer Haftgrund entgegensteht. Hingegen darf insbesondere bei längerer Inhaftierung nicht ausser Acht bleiben, dass der vorzeitige Strafantritt nicht nur der Sicherung des Untersuchungszwecks im Strafverfahren dient, sondern gleichzeitig auch vorgezogenen Strafvollzug darstellt, der sich so weit möglich an den Grundsätzen von Art. 74 f. StGB zu orientieren hat. Die in den Art. 74 f. StGB zum Ausdruck gebrachten Grundsätze sind im vorliegenden kantonalrechtlichen Haftprüfungsverfahren im Rahmen der Beurteilung der Verhältnismässigkeit ( Art. 36 Abs. 3 BV ) des vorzeitigen Strafvollzugs analog beizuziehen. In diesem Sinne kann ein vorzeitiger Strafantritt bei länger dauernder Haft wie hier ungeachtet der Dauer der zu erwartenden Freiheitsstrafe nur dann als verhältnismässig gelten, wenn den Grundsätzen der Art. 74 f. StGB entsprochen wird, soweit der Zweck der Strafuntersuchung dies zulässt. BGE 133 I 270 S. 279 In Art. 75 Abs. 3 StGB ist insbesondere vorgesehen, dass ein Vollzugsplan erstellt wird, der Angaben über die angebotene Betreuung, die Arbeits- sowie Ausbildungs- und Weiterbildungsmöglichkeiten, die Wiedergutmachung, die Beziehungen zur Aussenwelt und die Vorbereitung der Entlassung enthält. Bei der langjährigen Strafkarriere mit erheblicher Rückfallsgefahr und der diagnostizierten, mit therapeutischen Massnahmen offenbar beeinflussbaren Persönlichkeitsstörung des Beschwerdeführers sowie der bereits neu ausgestandenen Haftdauer von 2 3 /</w:t>
      </w:r>
    </w:p>
    <w:p>
      <w:r>
        <w:rPr>
          <w:b/>
        </w:rPr>
        <w:t>E. 3.3</w:t>
      </w:r>
    </w:p>
    <w:p>
      <w:r>
        <w:t>Der Beschwerdeführer stellt die Verhältnismässigkeit der Aufrechterhaltung der strafprozessualen Haft zudem unter Hinweis auf mögliche Ersatzmassnahmen im Sinne von § 72 f. StPO/ZH in Frage.</w:t>
      </w:r>
    </w:p>
    <w:p>
      <w:r>
        <w:rPr>
          <w:b/>
        </w:rPr>
        <w:t>E. 3.3.1</w:t>
      </w:r>
    </w:p>
    <w:p>
      <w:r>
        <w:t>Untersuchungshaft darf nur angeordnet werden, wenn der Angeschuldigte eines Verbrechens oder Vergehens dringend verdächtig ist und ausserdem aufgrund bestimmter Anhaltspunkte ein besonderer Haftgrund ernsthaft befürchtet werden muss ( § 58 Abs. 1 StPO /ZH). Anstelle von Untersuchungshaft werden nach dem Verhältnismässigkeitsprinzip ( Art. 5 Abs. 2 und Art. 36 Abs. 3 BV ) eine oder mehrere Ersatzmassnahmen verfügt, wenn und solange sich der Haftzweck auch auf diese Weise erreichen lässt. Als Ersatzmassnahmen sind namentlich die Pass- und Schriftensperre sowie Weisungen zum Aufenthaltsort, beruflicher Tätigkeit, ärztlicher Behandlung und die regelmässige Meldung bei einer Behörde vorgesehen ( § 72 StPO /ZH). Der Haftrichter setzt sich im angefochtenen Entscheid mit den im vorliegenden Fall geeigneten BGE 133 I 270 S. 280 Ersatzmassnahmen nicht auseinander, was der Beschwerdeführer als Verletzung der Begründungspflicht ( Art. 29 Abs. 2 BV ) kritisiert.</w:t>
      </w:r>
    </w:p>
    <w:p>
      <w:r>
        <w:rPr>
          <w:b/>
        </w:rPr>
        <w:t>E. 3.3.2</w:t>
      </w:r>
    </w:p>
    <w:p>
      <w:r>
        <w:t>In seiner schriftlichen Stellungnahme vor der Haftrichterverhandlung nannte der Beschwerdeführer verschiedene mögliche Ersatzmassnahmen, mit welchen der Gefahr eines wiederholten deliktischen Verhaltens entgegengewirkt werden könnte. Der Haftrichter nimmt im angefochtenen Entscheid zu den vorgeschlagenen Ersatzmassnahmen überhaupt keine Stellung. Auch im bundesgerichtlichen Verfahren führt der Beschwerdeführer aus, verschiedene pragmatische und geeignete Massnahmen zur Verhinderung erneuter Delinquenz würden sich anbieten. So könne dem Beschwerdeführer jedes kaufmännische Gewerbe und jeder Einsitz in einer juristischen Person bis zum Prozess untersagt werden. Zudem sei ein Rayonverbot und ein Kontaktverbot zu sämtlichen Mitangeschuldigten und Personen aus dem Milieu möglich. Weiter könne die Aufnahme einer unselbständigen Erwerbstätigkeit angeordnet werden. Auch die Benützung von Mobiltelefonen und Fahrzeugen könne ihm verboten werden. Schliesslich sei er grundsätzlich zu der im psychiatrischen Gutachten empfohlenen Therapie bereit. Diese Massnahmen seien kumulierbar und bildeten ein stabiles Setting.</w:t>
      </w:r>
    </w:p>
    <w:p>
      <w:r>
        <w:rPr>
          <w:b/>
        </w:rPr>
        <w:t>E. 3.3.3</w:t>
      </w:r>
    </w:p>
    <w:p>
      <w:r>
        <w:t>Der Haftrichter hat die verschiedenen Ersatzmassnahmen nicht geprüft, obwohl er angesichts der bereits sehr langen Haftdauer und der ausführlichen Argumentation des Beschwerdeführers offensichtlich Anlass dazu hatte. Mit dem Verzicht auf die Prüfung möglicher Ersatzmassnahmen hat er den Anspruch des Beschwerdeführers auf rechtliches Gehör ( Art. 29 Abs. 2 BV ) missachtet. Die Beschwerde erweist sich auch in dieser Hinsicht als begründet. Es ist - wie der Beschwerdeführer richtig darlegt - nicht Aufgabe des Bundesgerichts, als erste Instanz mögliche Ersatzmassnahmen zu beurteilen und anzuordnen. Vielmehr wird der Haftrichter als im Kanton Zürich zurzeit einzige Haftprüfungsinstanz die allenfalls in Frage kommenden Ersatzmassnahmen prüfen müssen. (...)</w:t>
      </w:r>
    </w:p>
    <w:p>
      <w:r>
        <w:rPr>
          <w:b/>
        </w:rPr>
        <w:t>E. 3.4</w:t>
      </w:r>
    </w:p>
    <w:p>
      <w:r>
        <w:t>Schliesslich beanstandet der Beschwerdeführer die Haftdauer von 2 3 /</w:t>
      </w:r>
    </w:p>
    <w:p>
      <w:r>
        <w:rPr>
          <w:b/>
        </w:rPr>
        <w:t>E. 3.4.1</w:t>
      </w:r>
    </w:p>
    <w:p>
      <w:r>
        <w:t>Der Haftrichter führt im angefochtenen Entscheid aus, der Beschwerdeführer habe mit einer Freiheitsstrafe zu rechnen, die unter Gewichtung der massiven Vorstrafen aufgrund des heutigen Untersuchungsstandes ohne weiteres im Bereich zwischen 5-8 Jahren liegen dürfte. Damit drohe keine Überhaft, auch wenn mit der BGE 133 I 270 S. 281 Verteidigung von der Anrechnung von insgesamt rund 3 Jahren Haft bzw. Strafvollzug ausgegangen werde. Der Beschwerdeführer wendet gegen diese Ausführungen ein, dem Haftrichter seien die umfangreichen Untersuchungsakten nicht vorgelegen. Er habe nicht abgeklärt, wie viele einzelne Straftaten dem Beschwerdeführer zur Last gelegt würden, von welchem Deliktsbetrag auszugehen sei, wann mit einer Anklage zu rechnen sei und wie der Strafantrag der Anklagebehörde lauten werde. Zudem habe er weder das Geständnis des Beschwerdeführers noch das psychiatrische Gutachten berücksichtigt und auch nicht in Rechnung gestellt, dass ein Zusatzurteil zu einem Urteil des Bezirksgerichts Zürich vom 9. Oktober 2006 und damit eine Gesamtstrafe auszusprechen seien. Bereits aus dem vorangehenden Strafverfahren ergebe sich eine Überhaft von 4 Monaten, welche angerechnet werden müsse ( BGE 133 IV 150 E. 5 S. 154). Zudem datierten einige Tatvorwürfe aus den Jahren 2001/2002, und es sei mit einer grossen Anzahl von Einstellungen zu rechnen.</w:t>
      </w:r>
    </w:p>
    <w:p>
      <w:r>
        <w:rPr>
          <w:b/>
        </w:rPr>
        <w:t>E. 3.4.2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 BGE 132 I 21 E. 4.1 S. 27 f.; BGE 128 I 149 E. 2.2 S. 151, je mit Hinweisen). Für die Beurteilung der Verhältnismässigkeit der Haft spielt es jedoch grundsätzlich keine Rolle, dass für die in Aussicht BGE 133 I 270 S. 282 stehende Freiheitsstrafe gegebenenfalls der bedingte oder teilbedingte Vollzug gewährt werden kann (Urteil des Bundesgerichts 1B_6/ 2007 vom 20. Februar 2007, E. 2.5; BGE 125 I 60 E. 3d S. 64; BGE 124 I 208 E. 6 S. 215; Urteil 1P.686/1995 vom 22. Dezember 1995, publ. in: EuGRZ 1998 S. 514, E. 3).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168 E. 4.1 S. 170 mit Hinweisen).</w:t>
      </w:r>
    </w:p>
    <w:p>
      <w:r>
        <w:rPr>
          <w:b/>
        </w:rPr>
        <w:t>E. 3.4.3</w:t>
      </w:r>
    </w:p>
    <w:p>
      <w:r>
        <w:t>Bereits aus dem angefochtenen Entscheid ergibt sich, dass der Haftrichter über wesentliche Angaben, welche zur Beurteilung der Verhältnismässigkeit der Haftdauer erforderlich sind, nicht verfügte und die erforderlichen Unterlagen auch nicht erhob. Er beschränkte sich darauf, die Untersuchungsbehörde für den Fall weiterer Haftentlassungsgesuche, denen sie sich widersetzen sollte, anzuweisen, möglichst genau darzulegen, wie viele einzelne Straftaten voraussichtlich zur Anklage gelangen, von welchem Deliktsbetrag auszugehen sei und in welcher Bandbreite sich das von der Anklagebehörde beantragte Strafmass bewegen dürfte. Die Staatsanwaltschaft führt im bundesgerichtlichen Verfahren aus, es sei mit einem hohen Strafantrag zu rechnen, der die Überhaft noch einige Zeit nicht wahrscheinlich mache. Angesichts dieser vagen Äusserungen der Anklagebehörde, der bereits langen Haftdauer und der geringen aktenkundigen Kenntnisse des tatsächlichen Untersuchungsstandes kann der Haftrichter im Laufe des weiteren Haftprüfungsverfahrens nicht darauf verzichten, die zur Beurteilung der Verhältnismässigkeit der Haftdauer erforderlichen Akten zu erheben und seinen Entscheid in Nachachtung der Begründungspflicht nach Art. 29 Abs. 2 BV nachvollziehbar zu begründen. Die Unterlassungen des Haftrichters können hingegen zurzeit nicht zu einer unverzüglichen Entlassung des Beschwerdeführers aus dem vorzeitigen Strafvollzug führen, da nach der Aktenlage noch keine Überhaft anzunehmen ist und nach dem psychiatrischen Gutachten nicht ausgeschlossen werden kann, dass mit einer Freilassung des Beschwerdeführers der Untersuchungszweck gefährdet würde und der Beschwerdeführer seine deliktische Tätigkeit wieder aufnehmen könnte. BGE 133 I 270 S. 283</w:t>
      </w:r>
    </w:p>
    <w:p>
      <w:r>
        <w:rPr>
          <w:b/>
        </w:rPr>
        <w:t>E. 3.5.1</w:t>
      </w:r>
    </w:p>
    <w:p>
      <w:r>
        <w:t>Bei der weiteren Beurteilung der strafprozessualen Haft kann sich der Haftrichter aus den erwähnten verfassungsrechtlichen Gründen nicht auf eine äusserst knappe Begründung, wie sie im hier angefochtenen Entscheid enthalten ist, beschränken. Zunächst hat der Haftrichter - nach dem System des Zürcher Strafprozesses die einzige für die Haftprüfung zuständige kantonale Instanz - den Sachverhalt umfassend zu erheben. Er darf sich dabei nicht auf rudimentäre, oberflächliche Angaben seitens der Staatsanwaltschaft beschränken, sondern hat sich von den Tatvorwürfen und -umständen aufgrund des bisher vorliegenden Untersuchungsergebnisses ein vollständiges eigenes Bild zu machen und die Staatsanwaltschaft dazu anzuhalten, über den Lauf der Untersuchung und die verschiedenen voraussichtlichen Anklagepunkte nachvollziehbar, umfassend und konkret zu berichten. Ferner sind sämtliche Gesichtspunkte, die für die Beurteilung der strafprozessualen Haft - inklusive mögliche Vollzugserleichterungen oder Ersatzmassnahmen - wesentlich sind, im Haftrichterentscheid darzulegen und zu beurteilen. Nur auf diese Weise kann ein den verfassungs- und konventionsrechtlichen Grundsätzen genügender Entscheid erfolgen. Der angefochtene Entscheid entspricht diesen Anforderungen offensichtlich nicht. Gerade weil es sich beim Haftrichter im einstufigen zürcherischen System um die einzige richterliche Haftprüfungsinstanz handelt, darf an die Begründungspflicht bzw. an die Gewährung des rechtlichen Gehörs kein tiefer Massstab angelegt werden (vgl. Urteil des Bundesgerichts 1P.516/1992 vom 7. Oktober 1992, E. 3b, publ. in: EuGRZ 1992 S. 554 ff.; BGE 103 Ia 407 E. 3a S. 409). Zu berücksichtigen ist auch, dass es bei der Frage der Zulässigkeit von Untersuchungshaft um einen äusserst schwerwiegenden Eingriff in die persönliche Freiheit geht. Der Beschwerdeführer befindet sich bereits seit rund 2 ¾ Jahren in strafprozessualer Haft. Im vorliegenden Fall kommt noch hinzu, dass es der Haftrichter auch unterlassen hat, wenigstens nachträglich, in einer Vernehmlassung zur vorliegenden Beschwerde, auf die Argumente des Beschwerdeführers einzugehen. Die diesbezügliche Einladung des Bundesgerichtes ist mit dem Vermerk "Verzicht auf Vernehmlassung" retourniert worden (vgl. Urteil des Bundesgerichts 1P.464/1996 vom 12. September 1996, E. 2c/cc, publ. in: EuGRZ 1997 S. 16). Die Zürcher Regelung, wonach gegen den Entscheid des Haftrichters kein kantonales Rechtsmittel gegeben ist, hat das Bundesgericht trotz schwerer Bedenken als BGE 133 I 270 S. 284 verfassungsrechtlich nicht geradezu unhaltbar bezeichnet (Urteil des Bundesgerichts 1P.516/1992 vom 7. Oktober 1992, E. 2d, publ. in: EuGRZ 1992 S. 554). Es hat aber auch darauf hingewiesen, dass die Frage, ob die Zürcher Haftrichterregelung als grundrechtskonform angesehen werden kann, von der künftigen Rechtsanwendung durch die Zürcher Behörden abhänge. Im Sinne der dargelegten Bedenken sei nicht völlig auszuschliessen, dass sich in Anbetracht der vorhandenen Schwachstellen eine andere Lösung (Einführung einer Rekursinstanz, Ausbau der Verfahrensrechte) in Zukunft als verfassungsrechtlich notwendig aufdrängen könnte (Urteil des Bundesgerichts 1P.516/1992 vom 7. Oktober 1992, E. 3c, publ. in: EuGRZ 1992 S. 556). Zu einem verfassungsrechtlich einwandfreien Haftprüfungsverfahren gehört wie erwähnt auch, dass der Haftrichter die wesentlichen Tatsachen und Rechtsfragen umfassend erhebt und würdigt und diese Beurteilung in seinem Entscheid darlegt.</w:t>
      </w:r>
    </w:p>
    <w:p>
      <w:r>
        <w:rPr>
          <w:b/>
        </w:rPr>
        <w:t>E. 3.5.2</w:t>
      </w:r>
    </w:p>
    <w:p>
      <w:r>
        <w:t>Im vorliegenden Zusammenhang ist zudem darauf hinzuweisen, dass das am 1. Januar 2007 in Kraft getretene Bundesgerichtsgesetz in den Kantonen für Strafsachen ein zwei-instanzliches Verfahren vorsieht ( Art. 80 Abs. 2 BGG ), welches grundsätzlich auch bei strafprozessualer Haft zum Zug kommen soll. Art. 130 Abs. 1 BGG (in der Fassung vom 23. Juni 2006, AS 2006 S. 4213) räumt den Kantonen allerdings eine Übergangsfrist für die Anpassung ihrer Ausführungsbestimmungen bis zum Inkrafttreten einer schweizerischen Strafprozessordnung ein, weshalb die vorliegende Beschwerde auch ohne Zuständigkeit einer kantonalen Rechtsmittelinstanz zulässig ist (s. E. 1.1 hiervor). Ist sechs Jahre nach Inkrafttreten dieses Gesetzes noch keine schweizerische Strafprozessordnung in Kraft, so legt der Bundesrat die Frist zum Erlass der Ausführungsbestimmungen nach Anhörung der Kantone fest ( Art. 130 Abs. 1 Satz 2 BGG ). Im Entwurf für die schweizerische Strafprozessordnung hat der Bundesrat vorgeschlagen, für Entscheide über die Anordnung, Verlängerung und Aufhebung der Untersuchungs- und Sicherheitshaft von weniger als 3 Monaten kein Rechtsmittel vorzusehen (Art. 221 E-StPO, BBl 2006 S. 1454). Der Ständerat ist hingegen in seiner Sitzung vom 7. Dezember 2006 als Erstrat vom Vorschlag des Bundesrats abgewichen und hat für diese Fälle generell die Einführung eines kantonalen Rechtsmittels beschlossen, welches nicht von der Dauer der Inhaftierung abhängt (AB 2006 S 1027 f.). Der Nationalrat hat sich am 20. Juni 2007 im Wesentlichen dem ursprünglichen Vorschlag des Bundesrats angeschlossen BGE 133 I 270 S. 285 (AB 2007 N 966 f.). Aus den Beratungen der Räte ergibt sich, dass zumindest bei längerer strafprozessualer Haft mit der Einführung einer kantonalen Rechtsmittelmöglichkeit zu rechnen ist.</w:t>
      </w:r>
    </w:p>
    <w:p>
      <w:r>
        <w:rPr>
          <w:b/>
        </w:rPr>
        <w:t>E. 4</w:t>
      </w:r>
    </w:p>
    <w:p>
      <w:r>
        <w:t>Zusammenfassend ergibt sich, dass die Beschwerde gutzuheissen und der angefochtene Entscheid aufzuheben ist. Die Sache wird zur neuen Beurteilung im Sinne der Erwägungen an den Haftrichter zurückgewiesen ( Art. 107 Abs. 2 BGG ). Der Haftrichter wird die Verhältnismässigkeit der Haft aufgrund der zu erhebenden Untersuchungsakten und der beantragten Vollzugsmassnahmen neu zu prüfen haben. Dabei wird er mit Blick auf den Grundsatz der Verhältnismässigkeit auch mögliche Ersatzanordnungen im Sinne von § 72 StPO /ZH beurteilen müssen. Zudem werden die zuständigen kantonalen Behörden aufgefordert, umgehend Haft- und Vollzugsmodalitäten anzuordnen, welche die Resozialisierung des Beschwerdeführers fördern (s. E. 3.2.2 hiervor).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